
<file path=[Content_Types].xml><?xml version="1.0" encoding="utf-8"?>
<Types xmlns="http://schemas.openxmlformats.org/package/2006/content-types">
  <Override PartName="/word/media/image2.jpeg" ContentType="image/jpe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uppressAutoHyphens w:val="true"/>
        <w:ind w:firstLine="546" w:left="0" w:right="0"/>
      </w:pPr>
      <w:r>
        <w:rPr>
          <w:b/>
        </w:rPr>
        <w:t>ПРОФСОЮЗ РАБОТНИКОВ НАРОДНОГО ОБРАЗОВАНИЯ И НАУКИ РОССИЙСКОЙ ФЕДЕРАЦИИ</w:t>
      </w:r>
    </w:p>
    <w:p>
      <w:pPr>
        <w:pStyle w:val="style1"/>
        <w:numPr>
          <w:ilvl w:val="0"/>
          <w:numId w:val="2"/>
        </w:numPr>
        <w:jc w:val="center"/>
        <w:tabs>
          <w:tab w:leader="none" w:pos="0" w:val="left"/>
          <w:tab w:leader="none" w:pos="709" w:val="left"/>
        </w:tabs>
        <w:suppressAutoHyphens w:val="true"/>
        <w:ind w:firstLine="546" w:left="0" w:right="0"/>
        <w:spacing w:after="0" w:before="0"/>
      </w:pPr>
      <w:r>
        <w:rPr>
          <w:caps/>
          <w:sz w:val="28"/>
          <w:szCs w:val="28"/>
          <w:rFonts w:ascii="Times New Roman" w:cs="Times New Roman" w:hAnsi="Times New Roman"/>
        </w:rPr>
        <w:t xml:space="preserve">Ставропольская краевая организация </w:t>
      </w:r>
    </w:p>
    <w:p>
      <w:pPr>
        <w:pStyle w:val="style0"/>
        <w:jc w:val="center"/>
        <w:suppressAutoHyphens w:val="true"/>
        <w:ind w:firstLine="546" w:left="0" w:right="0"/>
      </w:pPr>
      <w:r>
        <w:rPr/>
      </w:r>
    </w:p>
    <w:tbl>
      <w:tblPr>
        <w:tblW w:type="dxa" w:w="10980"/>
        <w:tblBorders/>
        <w:jc w:val="left"/>
        <w:tblInd w:type="dxa" w:w="-758"/>
      </w:tblPr>
      <w:tblGrid>
        <w:gridCol w:w="3330"/>
        <w:gridCol w:w="3930"/>
      </w:tblGrid>
      <w:tr>
        <w:trPr>
          <w:trHeight w:hRule="atLeast" w:val="244"/>
          <w:cantSplit w:val="off"/>
        </w:trPr>
        <w:tc>
          <w:tcPr>
            <w:tcBorders/>
            <w:vMerge w:val="restart"/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2179320" cy="14027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gridSpan w:val="2"/>
            <w:shd w:fill="FFFFFF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30"/>
          <w:cantSplit w:val="off"/>
        </w:trPr>
        <w:tc>
          <w:tcPr>
            <w:tcBorders/>
            <w:vMerge w:val="continue"/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gridSpan w:val="2"/>
            <w:shd w:fill="0000FF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FFFFFF"/>
                <w:sz w:val="28"/>
                <w:i/>
                <w:b/>
                <w:szCs w:val="28"/>
                <w:lang w:eastAsia="ar-SA"/>
              </w:rPr>
              <w:t>Серия:</w:t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  <w:suppressAutoHyphens w:val="true"/>
              <w:ind w:firstLine="546" w:left="0" w:right="0"/>
            </w:pPr>
            <w:r>
              <w:rPr>
                <w:color w:val="FFFFFF"/>
                <w:sz w:val="28"/>
                <w:i/>
                <w:u w:val="single"/>
                <w:b/>
                <w:szCs w:val="28"/>
              </w:rPr>
              <w:t>«Правовая работа»</w:t>
            </w:r>
          </w:p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trHeight w:hRule="atLeast" w:val="10142"/>
          <w:cantSplit w:val="off"/>
        </w:trPr>
        <w:tc>
          <w:tcPr>
            <w:tcBorders/>
            <w:gridSpan w:val="3"/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bookmarkStart w:id="0" w:name="_GoBack"/>
            <w:bookmarkStart w:id="1" w:name="_GoBack"/>
            <w:bookmarkEnd w:id="1"/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48"/>
                <w:b/>
                <w:szCs w:val="48"/>
                <w:lang w:eastAsia="ar-SA"/>
              </w:rPr>
              <w:t xml:space="preserve"> </w:t>
            </w:r>
            <w:r>
              <w:rPr>
                <w:sz w:val="48"/>
                <w:b/>
                <w:szCs w:val="48"/>
                <w:lang w:eastAsia="ar-SA"/>
              </w:rPr>
              <w:t>ОБЩЕПРОФСОЮЗНАЯ</w:t>
            </w:r>
          </w:p>
          <w:p>
            <w:pPr>
              <w:pStyle w:val="style0"/>
              <w:jc w:val="center"/>
            </w:pPr>
            <w:r>
              <w:rPr>
                <w:sz w:val="48"/>
                <w:b/>
                <w:szCs w:val="48"/>
                <w:lang w:eastAsia="ar-SA"/>
              </w:rPr>
              <w:t xml:space="preserve"> </w:t>
            </w:r>
            <w:r>
              <w:rPr>
                <w:sz w:val="48"/>
                <w:b/>
                <w:szCs w:val="48"/>
                <w:lang w:eastAsia="ar-SA"/>
              </w:rPr>
              <w:t>ТЕМАТИЧЕСКАЯ ПРОВЕРКА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  <w:ind w:firstLine="708" w:left="0" w:right="0"/>
            </w:pPr>
            <w:r>
              <w:rPr>
                <w:sz w:val="44"/>
                <w:b/>
                <w:szCs w:val="44"/>
              </w:rPr>
              <w:t>«Соблюдение трудового законодательства при заключении и изменении трудовых договоров с работниками образовательных организаций»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40"/>
                <w:szCs w:val="40"/>
                <w:bCs/>
              </w:rPr>
              <w:t>1 марта - 1 апреля 2016 года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473"/>
          <w:cantSplit w:val="off"/>
        </w:trPr>
        <w:tc>
          <w:tcPr>
            <w:tcBorders/>
            <w:gridSpan w:val="3"/>
            <w:shd w:fill="0000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FFFFFF"/>
                <w:sz w:val="28"/>
                <w:b/>
                <w:szCs w:val="28"/>
              </w:rPr>
              <w:t>Ставрополь  2016 г</w:t>
            </w:r>
            <w:r>
              <w:rPr>
                <w:color w:val="FFFFFF"/>
                <w:b/>
              </w:rPr>
              <w:t>.</w:t>
            </w:r>
          </w:p>
        </w:tc>
      </w:tr>
      <w:tr>
        <w:trPr>
          <w:trHeight w:hRule="exact" w:val="964"/>
          <w:cantSplit w:val="off"/>
        </w:trPr>
        <w:tc>
          <w:tcPr>
            <w:tcBorders/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uppressAutoHyphens w:val="true"/>
              <w:spacing w:after="200" w:before="0"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200" w:before="0" w:line="276" w:lineRule="atLeast"/>
            </w:pPr>
            <w:r>
              <w:rPr/>
              <w:drawing>
                <wp:inline distB="0" distL="0" distR="0" distT="0">
                  <wp:extent cx="523875" cy="58039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trHeight w:hRule="exact" w:val="1946"/>
          <w:cantSplit w:val="off"/>
        </w:trPr>
        <w:tc>
          <w:tcPr>
            <w:tcBorders/>
            <w:gridSpan w:val="3"/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line="276" w:lineRule="atLeast"/>
            </w:pPr>
            <w:r>
              <w:rPr>
                <w:sz w:val="22"/>
                <w:szCs w:val="22"/>
                <w:rFonts w:cs="Calibri" w:eastAsia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>
            <w:pPr>
              <w:pStyle w:val="style0"/>
              <w:jc w:val="center"/>
              <w:suppressAutoHyphens w:val="true"/>
              <w:spacing w:line="276" w:lineRule="atLeast"/>
            </w:pPr>
            <w:r>
              <w:rPr>
                <w:sz w:val="22"/>
                <w:szCs w:val="20"/>
                <w:rFonts w:cs="Calibri" w:eastAsia="Calibri"/>
                <w:lang w:eastAsia="ar-SA"/>
              </w:rPr>
              <w:t>(ОБЩЕРОССИЙСКИЙ ПРОФСОЮЗ ОБРАЗОВАНИЯ)</w:t>
            </w:r>
          </w:p>
          <w:p>
            <w:pPr>
              <w:pStyle w:val="style0"/>
              <w:jc w:val="center"/>
              <w:keepNext/>
            </w:pPr>
            <w:r>
              <w:rPr>
                <w:sz w:val="26"/>
                <w:b/>
                <w:szCs w:val="26"/>
                <w:bCs/>
              </w:rPr>
              <w:t>СТАВРОПОЛЬСКАЯ КРАЕВАЯ ОРГАНИЗАЦИЯ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32"/>
                <w:b/>
                <w:szCs w:val="32"/>
                <w:bCs/>
                <w:rFonts w:cs="Calibri" w:eastAsia="Calibri"/>
                <w:lang w:eastAsia="ar-SA"/>
              </w:rPr>
              <w:t xml:space="preserve">ПРЕЗИДИУМ 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2"/>
                <w:bCs/>
                <w:rFonts w:cs="Calibri" w:eastAsia="Calibri"/>
                <w:lang w:eastAsia="ar-SA"/>
              </w:rPr>
              <w:t>ПОСТАНОВЛЕНИЕ</w:t>
            </w:r>
          </w:p>
          <w:p>
            <w:pPr>
              <w:pStyle w:val="style0"/>
              <w:jc w:val="center"/>
              <w:suppressAutoHyphens w:val="true"/>
              <w:spacing w:after="200" w:before="0" w:line="276" w:lineRule="atLeast"/>
            </w:pPr>
            <w:r>
              <w:rPr/>
            </w:r>
          </w:p>
        </w:tc>
      </w:tr>
      <w:tr>
        <w:trPr>
          <w:trHeight w:hRule="exact" w:val="1155"/>
          <w:cantSplit w:val="off"/>
        </w:trPr>
        <w:tc>
          <w:tcPr>
            <w:tcBorders>
              <w:top w:color="00000A" w:space="0" w:sz="2" w:val="double"/>
            </w:tcBorders>
            <w:shd w:fill="FFFFFF"/>
            <w:tcW w:type="dxa" w:w="3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cs="Calibri" w:eastAsia="Calibri"/>
                <w:lang w:eastAsia="ar-SA"/>
              </w:rPr>
              <w:br/>
              <w:t>03 февраля 2016г.</w:t>
            </w:r>
          </w:p>
        </w:tc>
        <w:tc>
          <w:tcPr>
            <w:tcBorders>
              <w:top w:color="00000A" w:space="0" w:sz="2" w:val="double"/>
            </w:tcBorders>
            <w:shd w:fill="FFFFFF"/>
            <w:tcW w:type="dxa" w:w="3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cs="Calibri" w:eastAsia="Calibri"/>
                <w:lang w:eastAsia="ar-SA"/>
              </w:rPr>
              <w:br/>
              <w:t>г. Ставрополь</w:t>
            </w:r>
          </w:p>
        </w:tc>
        <w:tc>
          <w:tcPr>
            <w:tcBorders>
              <w:top w:color="00000A" w:space="0" w:sz="2" w:val="double"/>
            </w:tcBorders>
            <w:shd w:fill="FFFFFF"/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cs="Calibri" w:eastAsia="Calibri"/>
                <w:lang w:eastAsia="ar-SA"/>
              </w:rPr>
              <w:br/>
              <w:t xml:space="preserve">                      № 20</w:t>
            </w:r>
          </w:p>
        </w:tc>
      </w:tr>
    </w:tbl>
    <w:p>
      <w:pPr>
        <w:pStyle w:val="style0"/>
        <w:jc w:val="both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both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both"/>
        <w:suppressAutoHyphens w:val="true"/>
      </w:pPr>
      <w:r>
        <w:rPr>
          <w:sz w:val="28"/>
          <w:b/>
          <w:szCs w:val="28"/>
          <w:rFonts w:cs="Calibri" w:eastAsia="Calibri"/>
          <w:lang w:eastAsia="ar-SA"/>
        </w:rPr>
        <w:t>О проведении общепрофсоюзной</w:t>
      </w:r>
    </w:p>
    <w:p>
      <w:pPr>
        <w:pStyle w:val="style0"/>
        <w:jc w:val="both"/>
        <w:suppressAutoHyphens w:val="true"/>
      </w:pPr>
      <w:r>
        <w:rPr>
          <w:sz w:val="28"/>
          <w:b/>
          <w:szCs w:val="28"/>
          <w:rFonts w:cs="Calibri" w:eastAsia="Calibri"/>
          <w:lang w:eastAsia="ar-SA"/>
        </w:rPr>
        <w:t xml:space="preserve">тематической проверки по соблюдению </w:t>
      </w:r>
    </w:p>
    <w:p>
      <w:pPr>
        <w:pStyle w:val="style0"/>
        <w:jc w:val="both"/>
        <w:suppressAutoHyphens w:val="true"/>
      </w:pPr>
      <w:r>
        <w:rPr>
          <w:sz w:val="28"/>
          <w:b/>
          <w:szCs w:val="28"/>
          <w:rFonts w:cs="Calibri" w:eastAsia="Calibri"/>
          <w:lang w:eastAsia="ar-SA"/>
        </w:rPr>
        <w:t xml:space="preserve">трудового законодательства в образовательных </w:t>
      </w:r>
    </w:p>
    <w:p>
      <w:pPr>
        <w:pStyle w:val="style0"/>
        <w:jc w:val="both"/>
        <w:suppressAutoHyphens w:val="true"/>
      </w:pPr>
      <w:r>
        <w:rPr>
          <w:sz w:val="28"/>
          <w:b/>
          <w:szCs w:val="28"/>
          <w:rFonts w:cs="Calibri" w:eastAsia="Calibri"/>
          <w:lang w:eastAsia="ar-SA"/>
        </w:rPr>
        <w:t xml:space="preserve">организациях в 2016 году </w:t>
      </w:r>
    </w:p>
    <w:p>
      <w:pPr>
        <w:pStyle w:val="style0"/>
        <w:suppressAutoHyphens w:val="true"/>
        <w:spacing w:after="200" w:before="0"/>
      </w:pPr>
      <w:r>
        <w:rPr/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В соответствии с постановлением Исполнительного комитета Профсоюза от 09 декабря 2015 года № 3-2 «О теме, сроках и порядке проведения общепрофсоюзной тематической проверки по соблюдению трудового законодательства в образовательных организациях в 2016 году» Президиум краевого комитета Профсоюза </w:t>
      </w:r>
      <w:r>
        <w:rPr>
          <w:sz w:val="28"/>
          <w:b/>
          <w:szCs w:val="28"/>
          <w:bCs/>
        </w:rPr>
        <w:t>ПОСТАНОВЛЯЕТ</w:t>
      </w:r>
      <w:r>
        <w:rPr>
          <w:sz w:val="28"/>
          <w:szCs w:val="28"/>
        </w:rPr>
        <w:t>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1. Провести в образовательных организациях края в период </w:t>
      </w:r>
      <w:r>
        <w:rPr>
          <w:sz w:val="28"/>
          <w:b/>
          <w:szCs w:val="28"/>
          <w:bCs/>
        </w:rPr>
        <w:t xml:space="preserve">с 01 марта по 01 апреля 2016 года </w:t>
      </w:r>
      <w:r>
        <w:rPr>
          <w:sz w:val="28"/>
          <w:szCs w:val="28"/>
          <w:bCs/>
        </w:rPr>
        <w:t>обще</w:t>
      </w:r>
      <w:r>
        <w:rPr>
          <w:sz w:val="28"/>
          <w:szCs w:val="28"/>
        </w:rPr>
        <w:t>профсоюзную проверку по теме «Соблюдение трудового законодательства при заключении и изменении трудовых договоров с работниками образовательных организаций» с целью осуществления мер по   выявлению, предупреждению   и устранению    нарушений    законодательства о труде.</w:t>
      </w:r>
    </w:p>
    <w:p>
      <w:pPr>
        <w:pStyle w:val="style0"/>
        <w:jc w:val="both"/>
        <w:tabs>
          <w:tab w:leader="none" w:pos="0" w:val="left"/>
          <w:tab w:leader="none" w:pos="709" w:val="left"/>
        </w:tabs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  <w:t>2. Утвердить прилагаемый П</w:t>
      </w:r>
      <w:r>
        <w:rPr>
          <w:sz w:val="28"/>
          <w:szCs w:val="28"/>
        </w:rPr>
        <w:t xml:space="preserve">орядок проведения общепрофсоюзной тематической проверки. </w:t>
      </w:r>
    </w:p>
    <w:p>
      <w:pPr>
        <w:pStyle w:val="style0"/>
        <w:jc w:val="both"/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  <w:t xml:space="preserve"> 3. Обратиться в м</w:t>
      </w:r>
      <w:r>
        <w:rPr>
          <w:sz w:val="28"/>
          <w:szCs w:val="28"/>
        </w:rPr>
        <w:t xml:space="preserve">инистерство образования и молодежной политики Ставропольского края с предложением о проведении в образовательных организациях края совместных контрольных мероприятий в ходе общепрофсоюзной тематической проверки. 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4. Правовой инспекции труда краевой организации Профсоюза обеспечить: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методическое сопровождение организации и проведения общепрофсоюзной тематической проверки в установленном порядке и в установленные сроки;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проведение семинара с председателями и внештатными правовыми инспекторами труда местных и первичных организаций Профсоюза по целям, задачам, порядку проведения проверки и подведения ее итогов;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-  подведение предварительных итогов проведения проверки;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направление в установленные сроки в Центральный Совет Профсоюза: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- копий трудовых договоров </w:t>
      </w:r>
      <w:r>
        <w:rPr>
          <w:sz w:val="28"/>
          <w:szCs w:val="28"/>
          <w:lang w:bidi="en-US"/>
        </w:rPr>
        <w:t>с работниками образовательных организаций и дополнительных соглашений к ним;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lang w:bidi="en-US"/>
        </w:rPr>
        <w:t>-</w:t>
      </w:r>
      <w:r>
        <w:rPr>
          <w:sz w:val="28"/>
          <w:szCs w:val="28"/>
        </w:rPr>
        <w:t xml:space="preserve"> информации об итогах проведения общепрофсоюзной тематической проверки.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5. Председателям местных организаций Профсоюза: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ознакомить внештатных правовых инспекторов труда с настоящим постановлением и организовать проведение краевой тематической проверки в установленном порядке с соблюдением сроков;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обратиться в муниципальные органы, осуществляющие управление в сфере образования с предложением о проведении в образовательных организациях совместных контрольных мероприятий в ходе общепрофсоюзной тематической проверки;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подвести итоги проведения проверки и рассмотреть их результаты на заседании выборного коллегиального органа профсоюзной организации;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направить в краевую организацию Профсоюза в срок: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</w:t>
      </w:r>
      <w:r>
        <w:rPr>
          <w:sz w:val="28"/>
          <w:b/>
          <w:szCs w:val="28"/>
        </w:rPr>
        <w:t xml:space="preserve"> до 15 апреля 2016 года </w:t>
      </w:r>
      <w:r>
        <w:rPr>
          <w:sz w:val="28"/>
          <w:szCs w:val="28"/>
        </w:rPr>
        <w:t>итоговые материалы, подготовленные в соответствии с количественными и качественными показателями проведения общепрофсоюзной тематической проверки.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</w:t>
      </w:r>
      <w:r>
        <w:rPr>
          <w:sz w:val="28"/>
          <w:szCs w:val="28"/>
          <w:lang w:eastAsia="ar-SA"/>
        </w:rPr>
        <w:t>. Итоги общепрофсоюзной тематической проверки рассмотреть на заседании президиума краевой организации Профсоюза.</w:t>
      </w:r>
    </w:p>
    <w:p>
      <w:pPr>
        <w:pStyle w:val="style0"/>
        <w:jc w:val="both"/>
      </w:pPr>
      <w:r>
        <w:rPr>
          <w:sz w:val="28"/>
          <w:szCs w:val="28"/>
          <w:lang w:eastAsia="ar-SA"/>
        </w:rPr>
        <w:tab/>
        <w:t>7. Итоги общепрофсоюзной тематической проверки довести до сведения м</w:t>
      </w:r>
      <w:r>
        <w:rPr>
          <w:sz w:val="28"/>
          <w:szCs w:val="28"/>
        </w:rPr>
        <w:t>инистерства образования и молодежной политики Ставропольского края.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8. Контроль за выполнением настоящего постановления возложить на главного правового инспектора труда   Шевченко И.В.</w:t>
      </w:r>
      <w:r>
        <w:rPr>
          <w:sz w:val="28"/>
          <w:szCs w:val="28"/>
          <w:lang w:eastAsia="ar-SA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</w:p>
    <w:p>
      <w:pPr>
        <w:pStyle w:val="style0"/>
        <w:jc w:val="both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both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both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both"/>
        <w:suppressAutoHyphens w:val="true"/>
        <w:spacing w:after="200" w:before="0" w:line="276" w:lineRule="atLeast"/>
      </w:pPr>
      <w:r>
        <w:rPr/>
        <w:drawing>
          <wp:inline distB="0" distL="0" distR="0" distT="0">
            <wp:extent cx="1256665" cy="10280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uppressAutoHyphens w:val="true"/>
      </w:pPr>
      <w:r>
        <w:rPr>
          <w:sz w:val="28"/>
          <w:szCs w:val="28"/>
          <w:rFonts w:cs="Calibri" w:eastAsia="Calibri"/>
          <w:lang w:eastAsia="ar-SA"/>
        </w:rPr>
        <w:t>Председатель</w:t>
      </w:r>
    </w:p>
    <w:p>
      <w:pPr>
        <w:pStyle w:val="style0"/>
        <w:jc w:val="both"/>
        <w:suppressAutoHyphens w:val="true"/>
        <w:spacing w:after="200" w:before="0"/>
      </w:pPr>
      <w:r>
        <w:rPr>
          <w:sz w:val="28"/>
          <w:szCs w:val="28"/>
          <w:rFonts w:cs="Calibri" w:eastAsia="Calibri"/>
          <w:lang w:eastAsia="ar-SA"/>
        </w:rPr>
        <w:t xml:space="preserve">краевой организации Профсоюза                                                    Л.Н. Манаева                                           </w:t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suppressAutoHyphens w:val="true"/>
        <w:spacing w:after="200" w:before="0" w:line="276" w:lineRule="atLeast"/>
      </w:pPr>
      <w:r>
        <w:rPr/>
      </w:r>
    </w:p>
    <w:p>
      <w:pPr>
        <w:pStyle w:val="style0"/>
        <w:jc w:val="right"/>
      </w:pPr>
      <w:r>
        <w:rPr>
          <w:sz w:val="26"/>
          <w:b/>
          <w:szCs w:val="28"/>
        </w:rPr>
        <w:t>Приложение № 1</w:t>
      </w:r>
    </w:p>
    <w:p>
      <w:pPr>
        <w:pStyle w:val="style0"/>
        <w:jc w:val="right"/>
      </w:pPr>
      <w:r>
        <w:rPr>
          <w:sz w:val="26"/>
          <w:szCs w:val="28"/>
        </w:rPr>
        <w:t xml:space="preserve">к постановлению президиума </w:t>
      </w:r>
    </w:p>
    <w:p>
      <w:pPr>
        <w:pStyle w:val="style0"/>
        <w:jc w:val="right"/>
      </w:pPr>
      <w:r>
        <w:rPr>
          <w:sz w:val="26"/>
          <w:szCs w:val="28"/>
        </w:rPr>
        <w:t>краевой организации Профсоюза</w:t>
      </w:r>
    </w:p>
    <w:p>
      <w:pPr>
        <w:pStyle w:val="style0"/>
        <w:jc w:val="right"/>
      </w:pPr>
      <w:r>
        <w:rPr>
          <w:sz w:val="26"/>
          <w:szCs w:val="28"/>
        </w:rPr>
        <w:t>от 20.08.2015 г. № 2</w:t>
      </w:r>
    </w:p>
    <w:p>
      <w:pPr>
        <w:pStyle w:val="style0"/>
        <w:jc w:val="center"/>
      </w:pPr>
      <w:r>
        <w:rPr>
          <w:sz w:val="28"/>
          <w:b/>
          <w:szCs w:val="28"/>
        </w:rPr>
        <w:t>ПОРЯДОК</w:t>
      </w:r>
    </w:p>
    <w:p>
      <w:pPr>
        <w:pStyle w:val="style0"/>
        <w:jc w:val="center"/>
      </w:pPr>
      <w:r>
        <w:rPr>
          <w:sz w:val="28"/>
          <w:b/>
          <w:szCs w:val="28"/>
        </w:rPr>
        <w:t>проведения общепрофсоюзной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в 2016 году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Настоящий Порядок проведения общепрофсоюзной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(далее – Порядок проведения общепрофсоюзной тематической проверки) определяет нормативно-правовую и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проведения общепрофсоюзной тематической проверки.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Основной целью проведения общепрофсоюзной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 при заключении и изменении трудовых договоров с работниками образовательных организаций.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Общепрофсоюзная тематическая проверка может проводиться с участием представителей Федеральной службы по труду и занятости, органов прокуратуры и органов, осуществляющих управление в сфере образования в субъекте Российской Федерации в порядке, установленном федеральным законодательством.</w:t>
      </w:r>
    </w:p>
    <w:p>
      <w:pPr>
        <w:pStyle w:val="style0"/>
        <w:jc w:val="both"/>
        <w:ind w:firstLine="567" w:left="0" w:right="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lang w:val="en-US"/>
        </w:rPr>
        <w:t>I</w:t>
      </w:r>
      <w:r>
        <w:rPr>
          <w:sz w:val="28"/>
          <w:b/>
          <w:szCs w:val="28"/>
        </w:rPr>
        <w:t>. Нормативно-правовая и методическая основа проведения общепрофсоюзной тематической проверки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Нормативно-правовой основой проведения общепрофсоюзной тематической проверки являются: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bCs/>
        </w:rPr>
        <w:t>- Конституция Российской Федерации (принята всенародным голосованием 12.12.1993 г.);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bCs/>
        </w:rPr>
        <w:t xml:space="preserve">- Трудовой кодекс Российской Федерации от 30.12.2001 г. № 197-ФЗ (далее – ТК РФ); 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- Федеральный закон </w:t>
      </w:r>
      <w:r>
        <w:rPr>
          <w:sz w:val="28"/>
          <w:szCs w:val="28"/>
          <w:bCs/>
        </w:rPr>
        <w:t xml:space="preserve">от 12.01.1996 г. № 10-ФЗ </w:t>
      </w:r>
      <w:r>
        <w:rPr>
          <w:sz w:val="28"/>
          <w:szCs w:val="28"/>
        </w:rPr>
        <w:t>«О профессиональных союзах, их правах и гарантиях деятельности» (далее – Закон о профсоюзах);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Федеральный закон от 27.07.2006 г. № 152-ФЗ «О персональных данных»;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bCs/>
        </w:rPr>
        <w:t>- Федеральный закон от 29.12.2012 г. № 273-ФЗ «Об образовании в Российской Федерации»;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Указ Президента РФ от 07.05.2012 г. № 597 «О мероприятиях по реализации государственной социальной политики»;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Правительства РФ от 05.05.2008 г. № 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Правительства РФ от 08.08.2013 г. № 678 «Об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Правительства РФ от 14.05.2015 г. № 466 «О ежегодных основных удлиненных оплачиваемых отпусках»;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Распоряжение Правительства РФ от 26.11.2012 г. № 2190-р «Об утверждении Программы поэтапного совершенствования системы оплаты труда в государственных (муниципальных) учреждениях на 2012 - 2018 годы»;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Минтруда России от 30.06.2003 г. № 41 «Об особенностях работы по совместительству педагогических, медицинских, фармацевтических работников и работников культуры»;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Минобрнауки России от 27.03.2006 г. № 69 «Об особенностях режима рабочего времени и времени отдыха педагогических и других работников образовательных учреждений»</w:t>
      </w:r>
      <w:r>
        <w:rPr>
          <w:sz w:val="28"/>
          <w:szCs w:val="28"/>
          <w:rStyle w:val="style23"/>
          <w:rFonts w:cs=""/>
        </w:rPr>
        <w:footnoteReference w:id="2"/>
      </w:r>
      <w:r>
        <w:rPr>
          <w:sz w:val="28"/>
          <w:szCs w:val="28"/>
        </w:rPr>
        <w:t>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Минздравсоцразвития России от 05.05.2008 г. № 216н «Об утверждении профессиональных квалификационных групп должностей работников образования»;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Минздравсоцразвития РФ от 05.05.2008 г.№ 217н «Об 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Минздравсоцразвития России от 26.08.2010 г. № 761н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Минздравсоцразвития России от 11.01.2011 г. № 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Минтруда России от 26.04.2013 г. № 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Минобрнауки России от 07.04.2014 г. № 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России 23.05.2014 г. № 32408);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Минобрнауки России от 22.12.2014 г.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 г. № 36204);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Минобрнауки России от 30.03.2015 г. № 293 «Об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составу» (Зарегистрировано в Минюсте России 23.04.2015 г. № 37014);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Приказ Минобрнауки России от 23.07.2015 г. № 749 «Об утверждении Положения о порядке замещения должностей педагогических работников, относящихся к профессорско-преподавательскому составу» (Зарегистрировано в Минюсте России 15.10.2015 г. № 39322);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Письмо Министерства образования и науки РФ от 20.06.2013 г. № АП-1073/02 «О разработке показателей эффективности»;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Письмо Минобрнауки России от 12.09.2013 г. № НТ-883/17 «О реализации части 11 статьи 108 Федерального закона от 29 декабря 2012 г. № 273-ФЗ «Об образовании в Российской Федерации»;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Главного государственного санитарного врача РФ от 29.12.2010 г.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Постановление Главного государственного санитарного врача РФ от 15.05.2013 г. № 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Отраслевое соглашение по организациям, находящимся в ведении Министерства образования и науки Российской Федерации, на 2015 – 2017 годы (утв. Минобрнауки России, Профсоюзом работников народного образования и науки РФ 22.12.2014 г.);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bCs/>
        </w:rPr>
        <w:t>- Распоряжение Правительства Ставропольского края от 19.12.2012 N 548-рп</w:t>
      </w:r>
      <w:r>
        <w:rPr>
          <w:sz w:val="28"/>
          <w:b/>
          <w:szCs w:val="28"/>
          <w:bCs/>
        </w:rPr>
        <w:t xml:space="preserve"> </w:t>
      </w:r>
      <w:r>
        <w:rPr>
          <w:sz w:val="28"/>
          <w:szCs w:val="28"/>
          <w:bCs/>
        </w:rPr>
        <w:t>"Об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2013 - 2018 годы";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Отраслевое соглашение по организациям, находящимся в ведении Министерства образования и молодежной политики Ставропольского края на 2014-2016 гг. (утв. Министерством образования и молодежной политики Ставропольского края 26.12.2013 г. с изм. от 14.09.2015 г.);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 другие правовые акты;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- Положение о правовой инспекции труда Профсоюза (утверждено постановлением Исполкома Профсоюза от 21.03.2012 г. № 9-11); 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выполнению условий коллективных договоров, соглашений (утвержден постановлением Исполкома Профсоюза от 9 декабря 2015 г. № 3-3);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настоящий Порядок проведения общепрофсоюзной тематической проверки.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lang w:val="en-US"/>
        </w:rPr>
        <w:t>II</w:t>
      </w:r>
      <w:r>
        <w:rPr>
          <w:sz w:val="28"/>
          <w:b/>
          <w:szCs w:val="28"/>
        </w:rPr>
        <w:t>. Сроки проведения общепрофсоюзной тематической проверки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Срок проведения общепрофсоюзной тематической проверки – </w:t>
      </w:r>
      <w:r>
        <w:rPr>
          <w:sz w:val="28"/>
          <w:b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b/>
          <w:szCs w:val="28"/>
        </w:rPr>
        <w:t>01</w:t>
      </w:r>
      <w:r>
        <w:rPr>
          <w:sz w:val="28"/>
          <w:szCs w:val="28"/>
        </w:rPr>
        <w:t> </w:t>
      </w:r>
      <w:r>
        <w:rPr>
          <w:sz w:val="28"/>
          <w:b/>
          <w:szCs w:val="28"/>
        </w:rPr>
        <w:t>марта 2016 года по 01 апреля 2016 года</w:t>
      </w:r>
      <w:r>
        <w:rPr>
          <w:sz w:val="28"/>
          <w:szCs w:val="28"/>
        </w:rPr>
        <w:t>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lang w:val="en-US"/>
        </w:rPr>
        <w:t>III</w:t>
      </w:r>
      <w:r>
        <w:rPr>
          <w:sz w:val="28"/>
          <w:b/>
          <w:szCs w:val="28"/>
        </w:rPr>
        <w:t>. Количественные и качественные показатели проведения общепрофсоюзной тематической проверки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Общепрофсоюзная тематическая проверка проводится в</w:t>
      </w:r>
      <w:r>
        <w:rPr>
          <w:sz w:val="28"/>
          <w:b/>
          <w:szCs w:val="28"/>
        </w:rPr>
        <w:t xml:space="preserve"> образовательных организаций</w:t>
      </w:r>
      <w:r>
        <w:rPr>
          <w:sz w:val="28"/>
          <w:szCs w:val="28"/>
        </w:rPr>
        <w:t>, расположенных в городах, сельской местности, рабочих поселках (поселках городского типа), где действуют первичные профсоюзные организации Общероссийского Профсоюза образования.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Количество проверяемых  образовательных организаций не ограничено должно составлять не менее 10% от их общего количества.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В перечень </w:t>
      </w:r>
      <w:bookmarkStart w:id="2" w:name="DDE_LINK"/>
      <w:r>
        <w:rPr>
          <w:sz w:val="28"/>
          <w:szCs w:val="28"/>
        </w:rPr>
        <w:t>образовательных организаций</w:t>
      </w:r>
      <w:bookmarkEnd w:id="2"/>
      <w:r>
        <w:rPr>
          <w:sz w:val="28"/>
          <w:szCs w:val="28"/>
        </w:rPr>
        <w:t>, подлежащих проверке, включаются: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дошкольные образовательные организации;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общеобразовательные организации;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организации дополнительного образования;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профессиональные образовательные организации;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образовательные организации высшего образования.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Количественные показатели общепрофсоюзной тематической проверки отражаются местными и первичными организациями Профсоюза в статистической форме (ОТП-2016), которая является приложением к настоящему Порядку проведения общепрофсоюзной тематической проверки и направляется в краевую организацию Профсоюза в составе итоговых материалов общепрофсоюзной тематической проверки.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Качественные показатели общепрофсоюзной тематической проверки отражаются местными и первичными организациями Профсоюза в пояснительной записке, которая прилагается к статистической форме (ОТП-2016). 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Пояснительная записка к статистической форме (ОТП-2016) должна содержать: - информацию о проведении проверки с указанием наименований проверенных образовательных организаций и комментариев, выраженных в конкретных примерах, по каждому показателю проверки;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сведения о решениях выборных коллегиальных органов местных и первичных организаций Профсоюза о проведении общепрофсоюзной тематической проверки, о рассмотрении итогов проверки;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сведения об информировании соответствующих органов, осуществляющих управление в сфере образования, о результатах проведенных проверок и совместных мероприятиях по итогам проведенных проверок;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сведения о мерах, принятых территориальными органами Федеральной службы по труду и занятости, органами прокуратуры по результатам проверок;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другую необходимую информацию в связи с проведением проверки.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В пояснительной записке к статистической форме (ОТП-2016) должны содержаться также дополнительные сведения, характеризующие </w:t>
      </w:r>
      <w:r>
        <w:rPr>
          <w:color w:val="000000"/>
          <w:sz w:val="28"/>
          <w:szCs w:val="28"/>
        </w:rPr>
        <w:t xml:space="preserve">практику заключения и соблюдения условий трудовых договоров в образовательных организациях, </w:t>
      </w:r>
      <w:r>
        <w:rPr>
          <w:color w:val="000000"/>
          <w:sz w:val="28"/>
          <w:b/>
          <w:szCs w:val="28"/>
        </w:rPr>
        <w:t xml:space="preserve">которые невозможно отразить в </w:t>
      </w:r>
      <w:r>
        <w:rPr>
          <w:sz w:val="28"/>
          <w:b/>
          <w:szCs w:val="28"/>
        </w:rPr>
        <w:t>количественных показателях</w:t>
      </w:r>
      <w:r>
        <w:rPr>
          <w:color w:val="000000"/>
          <w:sz w:val="28"/>
          <w:b/>
          <w:szCs w:val="28"/>
        </w:rPr>
        <w:t>: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- </w:t>
      </w:r>
      <w:r>
        <w:rPr>
          <w:sz w:val="28"/>
          <w:szCs w:val="28"/>
        </w:rPr>
        <w:t>сведения об имеющихся нарушениях порядка внесения изменений и дополнений в трудовой договор с работником, в том числе в случаях с</w:t>
      </w:r>
      <w:r>
        <w:rPr>
          <w:sz w:val="28"/>
          <w:szCs w:val="28"/>
          <w:lang w:bidi="en-US"/>
        </w:rPr>
        <w:t>овмещения профессий (должностей), расширения зон обслуживания, увеличения объема работы, исполнения обязанностей временно отсутствующего работника без освобождения от работы, определенной трудовым договором;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- сведения о наличии условий в трудовых договорах, противоречащих трудовому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 xml:space="preserve">- сведения о соблюдении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трудового </w:t>
      </w:r>
      <w:r>
        <w:rPr>
          <w:sz w:val="28"/>
          <w:szCs w:val="28"/>
        </w:rPr>
        <w:t xml:space="preserve">законодательства </w:t>
      </w:r>
      <w:r>
        <w:rPr>
          <w:sz w:val="28"/>
          <w:szCs w:val="28"/>
          <w:lang w:bidi="en-US"/>
        </w:rPr>
        <w:t>(в том числе локального нормативного правового акта, устанавливающего критерии, показатели и периодичность оценки эффективности деятельности работников организации).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 xml:space="preserve">В краевую организацию Профсоюза </w:t>
      </w:r>
      <w:r>
        <w:rPr>
          <w:sz w:val="28"/>
          <w:b/>
          <w:szCs w:val="28"/>
          <w:lang w:bidi="en-US"/>
        </w:rPr>
        <w:t>в срок до 4 апреля 2016 года</w:t>
      </w:r>
      <w:r>
        <w:rPr>
          <w:sz w:val="28"/>
          <w:szCs w:val="28"/>
          <w:lang w:bidi="en-US"/>
        </w:rPr>
        <w:t xml:space="preserve"> необходимо направить в электронном виде 2 копии трудовых договоров с педагогическими работниками и дополнительные соглашения к ним, в которых конкретизированы должностные обязанности, условия оплаты труда, показатели и критерии оценки эффективности их деятельности для назначения стимулирующих выплат в зависимости от результатов труда и его качества, меры социальной поддержки. 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Необходимо направить только те копии трудовых договоров и дополнительных соглашений к ним, которые были заключены в 2015 году.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Направление копий трудовых договоров с работниками и дополнительных соглашений к ним производится с соблюдением принципов и правил, предусмотренных Федеральным законом от 27.07.2006 г. № 152-ФЗ «О персональных данных».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bCs/>
          <w:lang w:bidi="en-US"/>
        </w:rPr>
        <w:t>Обращаем внимание, что по запросу профессиональных союзов в целях контроля за соблюдением трудового законодательства работодателем согласие работника на передачу персональных данных не требуется (абз. 5 ч. 6 ст. 370 ТК РФ, п. 1 ст. 17, п. 1 ст. 19 Закона о профсоюзах, абз. 5 п. 4 разъяснений Роскомнадзора от 14.12.2012 г. «Вопросы, касающиеся обработки персональных данных работников, соискателей на замещение вакантных должностей, а также лиц, находящихся в кадровом резерве»).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Вместе с тем, в направляемых копиях трудовых договоров и дополнительных соглашений к ним персональные данные работников могут быть обезличены.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lang w:val="en-US"/>
        </w:rPr>
        <w:t>IV</w:t>
      </w:r>
      <w:r>
        <w:rPr>
          <w:sz w:val="28"/>
          <w:b/>
          <w:szCs w:val="28"/>
        </w:rPr>
        <w:t>. Подведение итогов общепрофсоюзной тематической проверки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Местные (первичные) организации Профсоюза по окончании проведения общепрофсоюзной тематической проверки в срок </w:t>
      </w:r>
      <w:r>
        <w:rPr>
          <w:sz w:val="28"/>
          <w:b/>
          <w:szCs w:val="28"/>
          <w:bCs/>
        </w:rPr>
        <w:t>не позднее, чем до 15 апреля 2016 года</w:t>
      </w:r>
      <w:r>
        <w:rPr>
          <w:sz w:val="28"/>
          <w:szCs w:val="28"/>
        </w:rPr>
        <w:t xml:space="preserve"> представляют в электронном виде в краевую организацию Профсоюза итоговые материалы, подготовленные в соответствии с количественными и качественными показателями проведения общепрофсоюзной тематической проверки. </w:t>
      </w:r>
    </w:p>
    <w:p>
      <w:pPr>
        <w:pStyle w:val="style0"/>
        <w:jc w:val="both"/>
        <w:ind w:firstLine="567" w:left="0" w:right="0"/>
      </w:pPr>
      <w:r>
        <w:rPr>
          <w:sz w:val="28"/>
          <w:b/>
          <w:szCs w:val="28"/>
        </w:rPr>
        <w:t>Итоговые материалы общепрофсоюзной тематической проверки должны включать: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- статистическую форму (ОТП-2016) 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(приложение к Порядку проведения общепрофсоюзной тематической проверки);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- пояснительную записку, которая прилагается к статистической форме (ОТП-2016);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  <w:lang w:bidi="en-US"/>
        </w:rPr>
        <w:t>- копии трудовых договоров с работниками и дополнительные соглашения к ним (направить до 4 апреля 2016 года).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методические материалы и др.).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Статистическая форма (ОТП-2016), пояснительная записка к статистической форме (ОТП-2016) подписываются председателем местной (первичной) организации Профсоюза и внештатным правовым инспектором труда Профсоюза.</w:t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>Итоги общепрофсоюзной тематической проверки рассматриваются на заседании президиума краевой организации Профсоюза.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6"/>
          <w:szCs w:val="28"/>
        </w:rPr>
        <w:t xml:space="preserve"> </w:t>
      </w:r>
    </w:p>
    <w:sectPr>
      <w:formProt w:val="off"/>
      <w:pgSz w:h="16837" w:w="11905"/>
      <w:textDirection w:val="lrTb"/>
      <w:pgNumType w:fmt="decimal"/>
      <w:type w:val="nextPage"/>
      <w:pgMar w:bottom="709" w:left="1418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</w:pPr>
      <w:r>
        <w:rPr/>
        <w:tab/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 см. Приказ Минобрнауки России от 22.12.2014 г.№ 1601.</w:t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  <w:p>
      <w:pPr>
        <w:pStyle w:val="style39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8"/>
    <w:pPr>
      <w:outlineLvl w:val="0"/>
      <w:numPr>
        <w:ilvl w:val="0"/>
        <w:numId w:val="1"/>
      </w:numPr>
      <w:keepNext/>
      <w:spacing w:after="60" w:before="240"/>
    </w:pPr>
    <w:rPr>
      <w:sz w:val="32"/>
      <w:b/>
      <w:szCs w:val="32"/>
      <w:bCs/>
      <w:rFonts w:ascii="Arial" w:cs="Arial" w:hAnsi="Arial"/>
    </w:rPr>
  </w:style>
  <w:style w:styleId="style3" w:type="paragraph">
    <w:name w:val="Заголовок 3"/>
    <w:basedOn w:val="style0"/>
    <w:next w:val="style28"/>
    <w:pPr>
      <w:outlineLvl w:val="2"/>
      <w:numPr>
        <w:ilvl w:val="2"/>
        <w:numId w:val="1"/>
      </w:numPr>
      <w:keepNext/>
      <w:spacing w:after="0" w:before="40"/>
    </w:pPr>
    <w:rPr>
      <w:color w:val="1F4D78"/>
      <w:sz w:val="28"/>
      <w:b/>
      <w:szCs w:val="28"/>
      <w:bCs/>
      <w:rFonts w:ascii="Calibri Light" w:cs="" w:hAnsi="Calibri Light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3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Текст сноски Знак"/>
    <w:basedOn w:val="style15"/>
    <w:next w:val="style21"/>
    <w:rPr/>
  </w:style>
  <w:style w:styleId="style22" w:type="character">
    <w:name w:val="footnote reference"/>
    <w:next w:val="style22"/>
    <w:rPr/>
  </w:style>
  <w:style w:styleId="style23" w:type="character">
    <w:name w:val="Привязка сноски"/>
    <w:next w:val="style23"/>
    <w:rPr/>
  </w:style>
  <w:style w:styleId="style24" w:type="character">
    <w:name w:val="Символ сноски"/>
    <w:next w:val="style24"/>
    <w:rPr/>
  </w:style>
  <w:style w:styleId="style25" w:type="character">
    <w:name w:val="Привязка концевой сноски"/>
    <w:next w:val="style25"/>
    <w:rPr/>
  </w:style>
  <w:style w:styleId="style26" w:type="character">
    <w:name w:val="Символы концевой сноски"/>
    <w:next w:val="style26"/>
    <w:rPr/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ascii="Arial" w:cs="Tahoma" w:hAnsi="Ari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1" w:type="paragraph">
    <w:name w:val="Указатель"/>
    <w:basedOn w:val="style0"/>
    <w:next w:val="style31"/>
    <w:pPr>
      <w:suppressLineNumbers/>
    </w:pPr>
    <w:rPr>
      <w:rFonts w:ascii="Arial" w:cs="Tahoma" w:hAnsi="Arial"/>
    </w:rPr>
  </w:style>
  <w:style w:styleId="style32" w:type="paragraph">
    <w:name w:val="List Paragraph"/>
    <w:basedOn w:val="style0"/>
    <w:next w:val="style32"/>
    <w:pPr/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>
      <w:sz w:val="22"/>
      <w:szCs w:val="22"/>
      <w:rFonts w:ascii="Calibri" w:cs="" w:hAnsi="Calibri"/>
    </w:rPr>
  </w:style>
  <w:style w:styleId="style34" w:type="paragraph">
    <w:name w:val="Balloon Text"/>
    <w:basedOn w:val="style0"/>
    <w:next w:val="style34"/>
    <w:pPr/>
    <w:rPr/>
  </w:style>
  <w:style w:styleId="style35" w:type="paragraph">
    <w:name w:val="Знак Знак Знак Знак Знак Знак Знак"/>
    <w:basedOn w:val="style0"/>
    <w:next w:val="style35"/>
    <w:pPr/>
    <w:rPr/>
  </w:style>
  <w:style w:styleId="style36" w:type="paragraph">
    <w:name w:val="ConsPlusNormal"/>
    <w:next w:val="style3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7" w:type="paragraph">
    <w:name w:val="Верхний колонтитул"/>
    <w:basedOn w:val="style0"/>
    <w:next w:val="style37"/>
    <w:pPr>
      <w:tabs>
        <w:tab w:leader="none" w:pos="4677" w:val="center"/>
        <w:tab w:leader="none" w:pos="9355" w:val="right"/>
      </w:tabs>
      <w:suppressLineNumbers/>
    </w:pPr>
    <w:rPr>
      <w:sz w:val="22"/>
      <w:szCs w:val="22"/>
      <w:rFonts w:ascii="Calibri" w:cs="" w:hAnsi="Calibri"/>
    </w:rPr>
  </w:style>
  <w:style w:styleId="style38" w:type="paragraph">
    <w:name w:val="footnote text"/>
    <w:basedOn w:val="style0"/>
    <w:next w:val="style38"/>
    <w:pPr/>
    <w:rPr/>
  </w:style>
  <w:style w:styleId="style39" w:type="paragraph">
    <w:name w:val="Сноска"/>
    <w:basedOn w:val="style0"/>
    <w:next w:val="style39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2015-10-26T07:19:00.00Z</dcterms:created>
  <dc:creator>Владелец</dc:creator>
  <cp:lastModifiedBy>Владелец</cp:lastModifiedBy>
  <cp:lastPrinted>2016-02-08T09:16:00.00Z</cp:lastPrinted>
  <dcterms:modified xsi:type="dcterms:W3CDTF">2016-02-08T09:17:00.00Z</dcterms:modified>
  <cp:revision>17</cp:revision>
</cp:coreProperties>
</file>